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FC248F" w:rsidRPr="00FC248F" w:rsidRDefault="003058D3" w:rsidP="00FC248F">
            <w:pPr>
              <w:pStyle w:val="a5"/>
              <w:rPr>
                <w:rFonts w:ascii="Times New Roman" w:eastAsia="Times New Roman" w:hAnsi="Times New Roman" w:cs="Times New Roman"/>
              </w:rPr>
            </w:pPr>
            <w:r w:rsidRPr="003058D3">
              <w:rPr>
                <w:rFonts w:ascii="Times New Roman" w:eastAsia="Times New Roman" w:hAnsi="Times New Roman" w:cs="Times New Roman"/>
              </w:rPr>
              <w:t xml:space="preserve">Реконструкция ВЛ-10 кВ л 59-1 от КТП 59-1-28 до КТП 59-1-51 и отпаек на КТП 59-1-12, КТП 59-1-15 и присоединение отпайки на КТП 59-1-32 в </w:t>
            </w:r>
            <w:proofErr w:type="spellStart"/>
            <w:r w:rsidRPr="003058D3">
              <w:rPr>
                <w:rFonts w:ascii="Times New Roman" w:eastAsia="Times New Roman" w:hAnsi="Times New Roman" w:cs="Times New Roman"/>
              </w:rPr>
              <w:t>р.ц</w:t>
            </w:r>
            <w:proofErr w:type="gramStart"/>
            <w:r w:rsidRPr="003058D3">
              <w:rPr>
                <w:rFonts w:ascii="Times New Roman" w:eastAsia="Times New Roman" w:hAnsi="Times New Roman" w:cs="Times New Roman"/>
              </w:rPr>
              <w:t>.К</w:t>
            </w:r>
            <w:proofErr w:type="gramEnd"/>
            <w:r w:rsidRPr="003058D3">
              <w:rPr>
                <w:rFonts w:ascii="Times New Roman" w:eastAsia="Times New Roman" w:hAnsi="Times New Roman" w:cs="Times New Roman"/>
              </w:rPr>
              <w:t>ытманово</w:t>
            </w:r>
            <w:proofErr w:type="spellEnd"/>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3058D3">
            <w:pPr>
              <w:pStyle w:val="a5"/>
              <w:rPr>
                <w:rFonts w:ascii="Times New Roman" w:hAnsi="Times New Roman" w:cs="Times New Roman"/>
              </w:rPr>
            </w:pPr>
            <w:r>
              <w:rPr>
                <w:rFonts w:ascii="Times New Roman" w:hAnsi="Times New Roman" w:cs="Times New Roman"/>
                <w:lang w:val="en-US"/>
              </w:rPr>
              <w:t>F_ZSK_</w:t>
            </w:r>
            <w:r w:rsidR="003058D3">
              <w:rPr>
                <w:rFonts w:ascii="Times New Roman" w:hAnsi="Times New Roman" w:cs="Times New Roman"/>
              </w:rPr>
              <w:t>5</w:t>
            </w:r>
            <w:r>
              <w:rPr>
                <w:rFonts w:ascii="Times New Roman" w:hAnsi="Times New Roman" w:cs="Times New Roman"/>
                <w:lang w:val="en-US"/>
              </w:rPr>
              <w:t>_</w:t>
            </w:r>
            <w:r>
              <w:rPr>
                <w:rFonts w:ascii="Times New Roman" w:hAnsi="Times New Roman" w:cs="Times New Roman"/>
              </w:rPr>
              <w:t>Э</w:t>
            </w:r>
          </w:p>
        </w:tc>
      </w:tr>
      <w:tr w:rsidR="008C0090" w:rsidRPr="00540127" w:rsidTr="003046AF">
        <w:trPr>
          <w:trHeight w:val="957"/>
        </w:trPr>
        <w:tc>
          <w:tcPr>
            <w:tcW w:w="2559" w:type="dxa"/>
            <w:vMerge w:val="restart"/>
            <w:tcBorders>
              <w:top w:val="single" w:sz="4" w:space="0" w:color="auto"/>
              <w:right w:val="single" w:sz="4" w:space="0" w:color="auto"/>
            </w:tcBorders>
          </w:tcPr>
          <w:p w:rsidR="008C0090" w:rsidRPr="00540127" w:rsidRDefault="008C0090"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8C0090" w:rsidRPr="00540127" w:rsidRDefault="008C0090"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8C0090" w:rsidRPr="001E140B" w:rsidRDefault="008C0090"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8C0090" w:rsidRPr="00540127" w:rsidTr="003046AF">
        <w:trPr>
          <w:trHeight w:val="957"/>
        </w:trPr>
        <w:tc>
          <w:tcPr>
            <w:tcW w:w="2559" w:type="dxa"/>
            <w:vMerge/>
            <w:tcBorders>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8C0090" w:rsidRPr="00540127" w:rsidRDefault="008C0090"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8C0090" w:rsidRPr="001E140B" w:rsidRDefault="008C0090"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w:t>
            </w:r>
            <w:r w:rsidR="003058D3">
              <w:rPr>
                <w:rFonts w:ascii="Times New Roman" w:hAnsi="Times New Roman" w:cs="Times New Roman"/>
                <w:sz w:val="24"/>
                <w:szCs w:val="24"/>
              </w:rPr>
              <w:t>1,2</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3058D3">
            <w:pPr>
              <w:pStyle w:val="ConsPlusNormal"/>
              <w:ind w:left="19"/>
              <w:rPr>
                <w:rFonts w:ascii="Times New Roman" w:hAnsi="Times New Roman" w:cs="Times New Roman"/>
                <w:sz w:val="24"/>
                <w:szCs w:val="24"/>
              </w:rPr>
            </w:pPr>
            <w:r>
              <w:rPr>
                <w:rFonts w:ascii="Times New Roman" w:hAnsi="Times New Roman" w:cs="Times New Roman"/>
                <w:sz w:val="24"/>
                <w:szCs w:val="24"/>
              </w:rPr>
              <w:t>201</w:t>
            </w:r>
            <w:r w:rsidR="003058D3">
              <w:rPr>
                <w:rFonts w:ascii="Times New Roman" w:hAnsi="Times New Roman" w:cs="Times New Roman"/>
                <w:sz w:val="24"/>
                <w:szCs w:val="24"/>
              </w:rPr>
              <w:t>7</w:t>
            </w:r>
            <w:r>
              <w:rPr>
                <w:rFonts w:ascii="Times New Roman" w:hAnsi="Times New Roman" w:cs="Times New Roman"/>
                <w:sz w:val="24"/>
                <w:szCs w:val="24"/>
              </w:rPr>
              <w:t xml:space="preserve"> г</w:t>
            </w:r>
            <w:r w:rsidR="001E140B" w:rsidRPr="001E140B">
              <w:rPr>
                <w:rFonts w:ascii="Times New Roman" w:hAnsi="Times New Roman" w:cs="Times New Roman"/>
                <w:sz w:val="24"/>
                <w:szCs w:val="24"/>
              </w:rPr>
              <w:t>.</w:t>
            </w:r>
          </w:p>
        </w:tc>
      </w:tr>
      <w:tr w:rsidR="008C0090" w:rsidRPr="00540127" w:rsidTr="003046AF">
        <w:trPr>
          <w:trHeight w:val="957"/>
        </w:trPr>
        <w:tc>
          <w:tcPr>
            <w:tcW w:w="2559" w:type="dxa"/>
            <w:vMerge/>
            <w:tcBorders>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8C0090" w:rsidRPr="00540127" w:rsidRDefault="008C0090"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8C0090" w:rsidRPr="003C196C" w:rsidRDefault="008C0090"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8C0090" w:rsidRPr="00514615" w:rsidRDefault="008C0090" w:rsidP="00036119">
            <w:pPr>
              <w:pStyle w:val="ConsPlusNormal"/>
              <w:rPr>
                <w:rFonts w:ascii="Times New Roman" w:hAnsi="Times New Roman" w:cs="Times New Roman"/>
              </w:rPr>
            </w:pP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8C0090" w:rsidRPr="001B7076" w:rsidRDefault="008C0090" w:rsidP="001B7076">
            <w:pPr>
              <w:pStyle w:val="a5"/>
              <w:rPr>
                <w:rFonts w:ascii="Times New Roman" w:hAnsi="Times New Roman" w:cs="Times New Roman"/>
              </w:rPr>
            </w:pPr>
            <w:r w:rsidRPr="001B7076">
              <w:rPr>
                <w:rFonts w:ascii="Times New Roman" w:hAnsi="Times New Roman" w:cs="Times New Roman"/>
              </w:rPr>
              <w:t>показатели инвестиционного проекта приведены в приложении № 1 (в соответствии с методическими указаниями по расчету количественных показателей инвестиционных программ сетевых организаций).</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8C0090" w:rsidRPr="001B7076" w:rsidRDefault="008C0090"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1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roofErr w:type="gramEnd"/>
          </w:p>
        </w:tc>
        <w:tc>
          <w:tcPr>
            <w:tcW w:w="7371" w:type="dxa"/>
            <w:tcBorders>
              <w:top w:val="single" w:sz="4" w:space="0" w:color="auto"/>
              <w:left w:val="single" w:sz="4" w:space="0" w:color="auto"/>
              <w:bottom w:val="single" w:sz="4" w:space="0" w:color="auto"/>
            </w:tcBorders>
          </w:tcPr>
          <w:p w:rsidR="008C0090" w:rsidRPr="00FC248F" w:rsidRDefault="008C0090" w:rsidP="002E7853">
            <w:pPr>
              <w:pStyle w:val="a5"/>
              <w:rPr>
                <w:rFonts w:ascii="Times New Roman" w:eastAsia="Times New Roman" w:hAnsi="Times New Roman" w:cs="Times New Roman"/>
              </w:rPr>
            </w:pPr>
            <w:r w:rsidRPr="003058D3">
              <w:rPr>
                <w:rFonts w:ascii="Times New Roman" w:eastAsia="Times New Roman" w:hAnsi="Times New Roman" w:cs="Times New Roman"/>
              </w:rPr>
              <w:t xml:space="preserve">Реконструкция ВЛ-10 кВ л 59-1 от КТП 59-1-28 до КТП 59-1-51 и отпаек на КТП 59-1-12, КТП 59-1-15 и присоединение отпайки на КТП 59-1-32 в </w:t>
            </w:r>
            <w:proofErr w:type="spellStart"/>
            <w:r w:rsidRPr="003058D3">
              <w:rPr>
                <w:rFonts w:ascii="Times New Roman" w:eastAsia="Times New Roman" w:hAnsi="Times New Roman" w:cs="Times New Roman"/>
              </w:rPr>
              <w:t>р.ц</w:t>
            </w:r>
            <w:proofErr w:type="gramStart"/>
            <w:r w:rsidRPr="003058D3">
              <w:rPr>
                <w:rFonts w:ascii="Times New Roman" w:eastAsia="Times New Roman" w:hAnsi="Times New Roman" w:cs="Times New Roman"/>
              </w:rPr>
              <w:t>.К</w:t>
            </w:r>
            <w:proofErr w:type="gramEnd"/>
            <w:r w:rsidRPr="003058D3">
              <w:rPr>
                <w:rFonts w:ascii="Times New Roman" w:eastAsia="Times New Roman" w:hAnsi="Times New Roman" w:cs="Times New Roman"/>
              </w:rPr>
              <w:t>ытманово</w:t>
            </w:r>
            <w:proofErr w:type="spellEnd"/>
            <w:r>
              <w:rPr>
                <w:rFonts w:ascii="Times New Roman" w:eastAsia="Times New Roman" w:hAnsi="Times New Roman" w:cs="Times New Roman"/>
              </w:rPr>
              <w:t>, 2017 год, 1,600 млн.руб.</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8C0090" w:rsidRDefault="00744C33" w:rsidP="00E70D89">
            <w:pPr>
              <w:ind w:left="19" w:firstLine="0"/>
              <w:rPr>
                <w:rFonts w:ascii="Times New Roman" w:eastAsia="Times New Roman" w:hAnsi="Times New Roman" w:cs="Times New Roman"/>
              </w:rPr>
            </w:pPr>
            <w:r>
              <w:rPr>
                <w:rFonts w:ascii="Times New Roman" w:eastAsia="Times New Roman" w:hAnsi="Times New Roman" w:cs="Times New Roman"/>
              </w:rPr>
              <w:t>Проект завершен:</w:t>
            </w:r>
          </w:p>
          <w:p w:rsidR="00744C33" w:rsidRDefault="00744C33" w:rsidP="00E70D89">
            <w:pPr>
              <w:ind w:left="19" w:firstLine="0"/>
              <w:rPr>
                <w:rFonts w:ascii="Times New Roman" w:eastAsia="Times New Roman" w:hAnsi="Times New Roman" w:cs="Times New Roman"/>
              </w:rPr>
            </w:pPr>
            <w:r>
              <w:rPr>
                <w:rFonts w:ascii="Times New Roman" w:eastAsia="Times New Roman" w:hAnsi="Times New Roman" w:cs="Times New Roman"/>
              </w:rPr>
              <w:t>- объем освоения капитальных вложений – 1,821 млн</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уб.</w:t>
            </w:r>
          </w:p>
          <w:p w:rsidR="00744C33" w:rsidRPr="00E70D89" w:rsidRDefault="00744C33" w:rsidP="00E70D89">
            <w:pPr>
              <w:ind w:left="19" w:firstLine="0"/>
              <w:rPr>
                <w:rFonts w:ascii="Times New Roman" w:eastAsia="Times New Roman" w:hAnsi="Times New Roman" w:cs="Times New Roman"/>
              </w:rPr>
            </w:pPr>
            <w:r>
              <w:rPr>
                <w:rFonts w:ascii="Times New Roman" w:eastAsia="Times New Roman" w:hAnsi="Times New Roman" w:cs="Times New Roman"/>
              </w:rPr>
              <w:t>- ввод основных средств – 1,2 км</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7371" w:type="dxa"/>
            <w:tcBorders>
              <w:top w:val="single" w:sz="4" w:space="0" w:color="auto"/>
              <w:left w:val="single" w:sz="4" w:space="0" w:color="auto"/>
              <w:bottom w:val="single" w:sz="4" w:space="0" w:color="auto"/>
            </w:tcBorders>
          </w:tcPr>
          <w:p w:rsidR="008C0090" w:rsidRPr="00E70D89" w:rsidRDefault="008C0090"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8C0090" w:rsidRPr="00E70D89" w:rsidRDefault="008C0090"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8C0090" w:rsidRPr="003046AF" w:rsidRDefault="008C009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8C0090" w:rsidRPr="00540127" w:rsidRDefault="008C0090" w:rsidP="00B97BBE">
            <w:pPr>
              <w:ind w:firstLine="0"/>
              <w:rPr>
                <w:rFonts w:ascii="Times New Roman" w:hAnsi="Times New Roman" w:cs="Times New Roman"/>
              </w:rPr>
            </w:pP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8C0090" w:rsidRPr="003046AF" w:rsidRDefault="008C009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8C0090" w:rsidRPr="00540127" w:rsidRDefault="008C0090" w:rsidP="00BA0901">
            <w:pPr>
              <w:pStyle w:val="a5"/>
              <w:rPr>
                <w:rFonts w:ascii="Times New Roman" w:hAnsi="Times New Roman" w:cs="Times New Roman"/>
              </w:rPr>
            </w:pP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8C0090" w:rsidRPr="003046AF" w:rsidRDefault="008C0090"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8C0090" w:rsidRPr="00540127" w:rsidRDefault="008C0090" w:rsidP="00BA0901">
            <w:pPr>
              <w:pStyle w:val="a5"/>
              <w:rPr>
                <w:rFonts w:ascii="Times New Roman" w:hAnsi="Times New Roman" w:cs="Times New Roman"/>
              </w:rPr>
            </w:pP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8C0090" w:rsidRPr="003046AF" w:rsidRDefault="008C009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8C0090" w:rsidRPr="00540127" w:rsidRDefault="008C0090" w:rsidP="00B66E7A">
            <w:pPr>
              <w:pStyle w:val="a8"/>
              <w:ind w:left="303" w:firstLine="0"/>
              <w:rPr>
                <w:rFonts w:ascii="Times New Roman" w:hAnsi="Times New Roman" w:cs="Times New Roman"/>
              </w:rPr>
            </w:pP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8C0090" w:rsidRPr="00540127" w:rsidRDefault="008C009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 xml:space="preserve">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МВт;</w:t>
            </w:r>
          </w:p>
          <w:p w:rsidR="008C0090" w:rsidRPr="00540127" w:rsidRDefault="008C009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8C0090" w:rsidRPr="003046AF" w:rsidRDefault="008C0090"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8C0090" w:rsidRPr="00540127" w:rsidTr="003046AF">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8C0090" w:rsidRPr="00540127" w:rsidRDefault="008C0090"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8C0090" w:rsidRPr="00540127" w:rsidTr="001B7076">
        <w:trPr>
          <w:trHeight w:val="9771"/>
        </w:trPr>
        <w:tc>
          <w:tcPr>
            <w:tcW w:w="7655" w:type="dxa"/>
            <w:gridSpan w:val="2"/>
            <w:tcBorders>
              <w:top w:val="single" w:sz="4" w:space="0" w:color="auto"/>
              <w:bottom w:val="single" w:sz="4" w:space="0" w:color="auto"/>
              <w:right w:val="single" w:sz="4" w:space="0" w:color="auto"/>
            </w:tcBorders>
          </w:tcPr>
          <w:p w:rsidR="008C0090" w:rsidRPr="00540127" w:rsidRDefault="008C0090"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8C0090" w:rsidRPr="003046AF" w:rsidRDefault="008C0090" w:rsidP="004D041F">
            <w:pPr>
              <w:rPr>
                <w:highlight w:val="yellow"/>
              </w:rPr>
            </w:pPr>
            <w:r w:rsidRPr="003058D3">
              <w:rPr>
                <w:noProof/>
              </w:rPr>
              <w:drawing>
                <wp:inline distT="0" distB="0" distL="0" distR="0">
                  <wp:extent cx="4445000" cy="6431476"/>
                  <wp:effectExtent l="19050" t="0" r="0" b="0"/>
                  <wp:docPr id="1" name="Рисунок 9"/>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a:off x="0" y="0"/>
                            <a:ext cx="4445000" cy="6431476"/>
                          </a:xfrm>
                          <a:prstGeom prst="rect">
                            <a:avLst/>
                          </a:prstGeom>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6A5C99" w:rsidRPr="00FC248F" w:rsidRDefault="00540127" w:rsidP="006A5C99">
      <w:pPr>
        <w:pStyle w:val="a5"/>
        <w:jc w:val="center"/>
        <w:rPr>
          <w:rFonts w:ascii="Times New Roman" w:eastAsia="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3058D3" w:rsidRPr="003058D3">
        <w:rPr>
          <w:rFonts w:ascii="Times New Roman" w:eastAsia="Times New Roman" w:hAnsi="Times New Roman" w:cs="Times New Roman"/>
        </w:rPr>
        <w:t xml:space="preserve">Реконструкция ВЛ-10 кВ л 59-1 от КТП 59-1-28 до КТП 59-1-51 и отпаек на КТП 59-1-12, КТП 59-1-15 и присоединение отпайки на КТП 59-1-32 в </w:t>
      </w:r>
      <w:proofErr w:type="spellStart"/>
      <w:r w:rsidR="003058D3" w:rsidRPr="003058D3">
        <w:rPr>
          <w:rFonts w:ascii="Times New Roman" w:eastAsia="Times New Roman" w:hAnsi="Times New Roman" w:cs="Times New Roman"/>
        </w:rPr>
        <w:t>р.ц</w:t>
      </w:r>
      <w:proofErr w:type="gramStart"/>
      <w:r w:rsidR="003058D3" w:rsidRPr="003058D3">
        <w:rPr>
          <w:rFonts w:ascii="Times New Roman" w:eastAsia="Times New Roman" w:hAnsi="Times New Roman" w:cs="Times New Roman"/>
        </w:rPr>
        <w:t>.К</w:t>
      </w:r>
      <w:proofErr w:type="gramEnd"/>
      <w:r w:rsidR="003058D3" w:rsidRPr="003058D3">
        <w:rPr>
          <w:rFonts w:ascii="Times New Roman" w:eastAsia="Times New Roman" w:hAnsi="Times New Roman" w:cs="Times New Roman"/>
        </w:rPr>
        <w:t>ытманово</w:t>
      </w:r>
      <w:proofErr w:type="spellEnd"/>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sz w:val="24"/>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8C0090" w:rsidRDefault="008C0090" w:rsidP="008C0090">
      <w:pPr>
        <w:ind w:firstLine="0"/>
        <w:rPr>
          <w:rFonts w:ascii="Times New Roman" w:hAnsi="Times New Roman" w:cs="Times New Roman"/>
        </w:rPr>
      </w:pPr>
      <w:r>
        <w:rPr>
          <w:rFonts w:ascii="Times New Roman" w:hAnsi="Times New Roman" w:cs="Times New Roman"/>
        </w:rPr>
        <w:t xml:space="preserve">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w:t>
      </w:r>
      <w:proofErr w:type="gramStart"/>
      <w:r>
        <w:rPr>
          <w:rFonts w:ascii="Times New Roman" w:hAnsi="Times New Roman" w:cs="Times New Roman"/>
        </w:rPr>
        <w:t>ВЛ</w:t>
      </w:r>
      <w:proofErr w:type="gramEnd"/>
      <w:r>
        <w:rPr>
          <w:rFonts w:ascii="Times New Roman" w:hAnsi="Times New Roman" w:cs="Times New Roman"/>
        </w:rPr>
        <w:t xml:space="preserve"> взамен выбывающих вследствие полного износа.</w:t>
      </w:r>
    </w:p>
    <w:p w:rsidR="008C0090" w:rsidRDefault="008C0090" w:rsidP="008C0090">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8C0090" w:rsidRDefault="008C0090" w:rsidP="008C0090">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3058D3" w:rsidRDefault="003058D3"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lastRenderedPageBreak/>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3058D3" w:rsidRPr="003058D3" w:rsidRDefault="003058D3" w:rsidP="003058D3">
            <w:pPr>
              <w:pStyle w:val="a5"/>
              <w:jc w:val="center"/>
              <w:rPr>
                <w:rFonts w:ascii="Times New Roman" w:eastAsia="Times New Roman" w:hAnsi="Times New Roman" w:cs="Times New Roman"/>
              </w:rPr>
            </w:pPr>
            <w:r w:rsidRPr="003058D3">
              <w:rPr>
                <w:rFonts w:ascii="Times New Roman" w:eastAsia="Times New Roman" w:hAnsi="Times New Roman" w:cs="Times New Roman"/>
                <w:sz w:val="22"/>
                <w:szCs w:val="22"/>
              </w:rPr>
              <w:t xml:space="preserve">Реконструкция ВЛ-10 кВ л 59-1 от КТП 59-1-28 до КТП 59-1-51 и отпаек на КТП 59-1-12, КТП 59-1-15 и присоединение отпайки на КТП 59-1-32 в </w:t>
            </w:r>
            <w:proofErr w:type="spellStart"/>
            <w:r w:rsidRPr="003058D3">
              <w:rPr>
                <w:rFonts w:ascii="Times New Roman" w:eastAsia="Times New Roman" w:hAnsi="Times New Roman" w:cs="Times New Roman"/>
                <w:sz w:val="22"/>
                <w:szCs w:val="22"/>
              </w:rPr>
              <w:t>р.ц</w:t>
            </w:r>
            <w:proofErr w:type="gramStart"/>
            <w:r w:rsidRPr="003058D3">
              <w:rPr>
                <w:rFonts w:ascii="Times New Roman" w:eastAsia="Times New Roman" w:hAnsi="Times New Roman" w:cs="Times New Roman"/>
                <w:sz w:val="22"/>
                <w:szCs w:val="22"/>
              </w:rPr>
              <w:t>.К</w:t>
            </w:r>
            <w:proofErr w:type="gramEnd"/>
            <w:r w:rsidRPr="003058D3">
              <w:rPr>
                <w:rFonts w:ascii="Times New Roman" w:eastAsia="Times New Roman" w:hAnsi="Times New Roman" w:cs="Times New Roman"/>
                <w:sz w:val="22"/>
                <w:szCs w:val="22"/>
              </w:rPr>
              <w:t>ытманово</w:t>
            </w:r>
            <w:proofErr w:type="spellEnd"/>
          </w:p>
          <w:p w:rsidR="006A5C99" w:rsidRPr="003058D3" w:rsidRDefault="006A5C99" w:rsidP="00255088">
            <w:pPr>
              <w:pStyle w:val="a5"/>
              <w:rPr>
                <w:rFonts w:ascii="Times New Roman" w:eastAsia="Times New Roman" w:hAnsi="Times New Roman" w:cs="Times New Roman"/>
              </w:rPr>
            </w:pP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E11C0A">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E11C0A">
              <w:rPr>
                <w:rFonts w:ascii="Times New Roman" w:eastAsia="Times New Roman" w:hAnsi="Times New Roman" w:cs="Times New Roman"/>
                <w:bCs/>
                <w:color w:val="000000"/>
                <w:sz w:val="16"/>
                <w:szCs w:val="16"/>
              </w:rPr>
              <w:t>выключателей(пВз)</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3058D3" w:rsidRPr="003058D3" w:rsidRDefault="003058D3" w:rsidP="003058D3">
            <w:pPr>
              <w:pStyle w:val="a5"/>
              <w:jc w:val="center"/>
              <w:rPr>
                <w:rFonts w:ascii="Times New Roman" w:eastAsia="Times New Roman" w:hAnsi="Times New Roman" w:cs="Times New Roman"/>
              </w:rPr>
            </w:pPr>
            <w:r w:rsidRPr="003058D3">
              <w:rPr>
                <w:rFonts w:ascii="Times New Roman" w:eastAsia="Times New Roman" w:hAnsi="Times New Roman" w:cs="Times New Roman"/>
                <w:sz w:val="22"/>
                <w:szCs w:val="22"/>
              </w:rPr>
              <w:t xml:space="preserve">Реконструкция ВЛ-10 кВ л 59-1 от КТП 59-1-28 до КТП 59-1-51 и отпаек на КТП 59-1-12, КТП 59-1-15 и присоединение отпайки на КТП 59-1-32 в </w:t>
            </w:r>
            <w:proofErr w:type="spellStart"/>
            <w:r w:rsidRPr="003058D3">
              <w:rPr>
                <w:rFonts w:ascii="Times New Roman" w:eastAsia="Times New Roman" w:hAnsi="Times New Roman" w:cs="Times New Roman"/>
                <w:sz w:val="22"/>
                <w:szCs w:val="22"/>
              </w:rPr>
              <w:t>р.ц</w:t>
            </w:r>
            <w:proofErr w:type="gramStart"/>
            <w:r w:rsidRPr="003058D3">
              <w:rPr>
                <w:rFonts w:ascii="Times New Roman" w:eastAsia="Times New Roman" w:hAnsi="Times New Roman" w:cs="Times New Roman"/>
                <w:sz w:val="22"/>
                <w:szCs w:val="22"/>
              </w:rPr>
              <w:t>.К</w:t>
            </w:r>
            <w:proofErr w:type="gramEnd"/>
            <w:r w:rsidRPr="003058D3">
              <w:rPr>
                <w:rFonts w:ascii="Times New Roman" w:eastAsia="Times New Roman" w:hAnsi="Times New Roman" w:cs="Times New Roman"/>
                <w:sz w:val="22"/>
                <w:szCs w:val="22"/>
              </w:rPr>
              <w:t>ытманово</w:t>
            </w:r>
            <w:proofErr w:type="spellEnd"/>
          </w:p>
          <w:p w:rsidR="006A5C99" w:rsidRPr="003058D3" w:rsidRDefault="006A5C99" w:rsidP="00255088">
            <w:pPr>
              <w:pStyle w:val="a5"/>
              <w:rPr>
                <w:rFonts w:ascii="Times New Roman" w:eastAsia="Times New Roman" w:hAnsi="Times New Roman" w:cs="Times New Roman"/>
              </w:rPr>
            </w:pPr>
          </w:p>
        </w:tc>
        <w:tc>
          <w:tcPr>
            <w:tcW w:w="1641"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6A5C99" w:rsidRPr="00F02471" w:rsidRDefault="003058D3"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1,2</w:t>
            </w:r>
          </w:p>
        </w:tc>
        <w:tc>
          <w:tcPr>
            <w:tcW w:w="158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058D3" w:rsidP="003479A4">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н</w:t>
            </w:r>
            <w:r w:rsidR="003479A4" w:rsidRPr="006A5C99">
              <w:rPr>
                <w:rFonts w:ascii="Times New Roman" w:eastAsia="Times New Roman" w:hAnsi="Times New Roman" w:cs="Times New Roman"/>
                <w:bCs/>
                <w:color w:val="000000"/>
                <w:sz w:val="16"/>
                <w:szCs w:val="16"/>
              </w:rPr>
              <w:t>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3058D3" w:rsidRPr="003058D3" w:rsidRDefault="003058D3" w:rsidP="003058D3">
            <w:pPr>
              <w:pStyle w:val="a5"/>
              <w:jc w:val="center"/>
              <w:rPr>
                <w:rFonts w:ascii="Times New Roman" w:eastAsia="Times New Roman" w:hAnsi="Times New Roman" w:cs="Times New Roman"/>
              </w:rPr>
            </w:pPr>
            <w:r w:rsidRPr="003058D3">
              <w:rPr>
                <w:rFonts w:ascii="Times New Roman" w:eastAsia="Times New Roman" w:hAnsi="Times New Roman" w:cs="Times New Roman"/>
                <w:sz w:val="22"/>
                <w:szCs w:val="22"/>
              </w:rPr>
              <w:t xml:space="preserve">Реконструкция ВЛ-10 кВ л 59-1 от КТП 59-1-28 до КТП 59-1-51 и отпаек на КТП 59-1-12, КТП 59-1-15 и присоединение отпайки на КТП 59-1-32 в </w:t>
            </w:r>
            <w:proofErr w:type="spellStart"/>
            <w:r w:rsidRPr="003058D3">
              <w:rPr>
                <w:rFonts w:ascii="Times New Roman" w:eastAsia="Times New Roman" w:hAnsi="Times New Roman" w:cs="Times New Roman"/>
                <w:sz w:val="22"/>
                <w:szCs w:val="22"/>
              </w:rPr>
              <w:t>р.ц</w:t>
            </w:r>
            <w:proofErr w:type="gramStart"/>
            <w:r w:rsidRPr="003058D3">
              <w:rPr>
                <w:rFonts w:ascii="Times New Roman" w:eastAsia="Times New Roman" w:hAnsi="Times New Roman" w:cs="Times New Roman"/>
                <w:sz w:val="22"/>
                <w:szCs w:val="22"/>
              </w:rPr>
              <w:t>.К</w:t>
            </w:r>
            <w:proofErr w:type="gramEnd"/>
            <w:r w:rsidRPr="003058D3">
              <w:rPr>
                <w:rFonts w:ascii="Times New Roman" w:eastAsia="Times New Roman" w:hAnsi="Times New Roman" w:cs="Times New Roman"/>
                <w:sz w:val="22"/>
                <w:szCs w:val="22"/>
              </w:rPr>
              <w:t>ытманово</w:t>
            </w:r>
            <w:proofErr w:type="spellEnd"/>
          </w:p>
          <w:p w:rsidR="006A5C99" w:rsidRPr="003058D3" w:rsidRDefault="006A5C99" w:rsidP="00255088">
            <w:pPr>
              <w:pStyle w:val="a5"/>
              <w:rPr>
                <w:rFonts w:ascii="Times New Roman" w:eastAsia="Times New Roman" w:hAnsi="Times New Roman" w:cs="Times New Roman"/>
              </w:rPr>
            </w:pP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3058D3" w:rsidRPr="003058D3" w:rsidRDefault="003058D3" w:rsidP="003058D3">
            <w:pPr>
              <w:pStyle w:val="a5"/>
              <w:jc w:val="center"/>
              <w:rPr>
                <w:rFonts w:ascii="Times New Roman" w:eastAsia="Times New Roman" w:hAnsi="Times New Roman" w:cs="Times New Roman"/>
              </w:rPr>
            </w:pPr>
            <w:r w:rsidRPr="003058D3">
              <w:rPr>
                <w:rFonts w:ascii="Times New Roman" w:eastAsia="Times New Roman" w:hAnsi="Times New Roman" w:cs="Times New Roman"/>
                <w:sz w:val="22"/>
                <w:szCs w:val="22"/>
              </w:rPr>
              <w:t xml:space="preserve">Реконструкция ВЛ-10 кВ л 59-1 от КТП 59-1-28 до КТП 59-1-51 и отпаек на КТП 59-1-12, КТП 59-1-15 и присоединение отпайки на КТП 59-1-32 в </w:t>
            </w:r>
            <w:proofErr w:type="spellStart"/>
            <w:r w:rsidRPr="003058D3">
              <w:rPr>
                <w:rFonts w:ascii="Times New Roman" w:eastAsia="Times New Roman" w:hAnsi="Times New Roman" w:cs="Times New Roman"/>
                <w:sz w:val="22"/>
                <w:szCs w:val="22"/>
              </w:rPr>
              <w:t>р.ц</w:t>
            </w:r>
            <w:proofErr w:type="gramStart"/>
            <w:r w:rsidRPr="003058D3">
              <w:rPr>
                <w:rFonts w:ascii="Times New Roman" w:eastAsia="Times New Roman" w:hAnsi="Times New Roman" w:cs="Times New Roman"/>
                <w:sz w:val="22"/>
                <w:szCs w:val="22"/>
              </w:rPr>
              <w:t>.К</w:t>
            </w:r>
            <w:proofErr w:type="gramEnd"/>
            <w:r w:rsidRPr="003058D3">
              <w:rPr>
                <w:rFonts w:ascii="Times New Roman" w:eastAsia="Times New Roman" w:hAnsi="Times New Roman" w:cs="Times New Roman"/>
                <w:sz w:val="22"/>
                <w:szCs w:val="22"/>
              </w:rPr>
              <w:t>ытманово</w:t>
            </w:r>
            <w:proofErr w:type="spellEnd"/>
          </w:p>
          <w:p w:rsidR="006A5C99" w:rsidRPr="003058D3" w:rsidRDefault="006A5C99" w:rsidP="00255088">
            <w:pPr>
              <w:pStyle w:val="a5"/>
              <w:rPr>
                <w:rFonts w:ascii="Times New Roman" w:eastAsia="Times New Roman" w:hAnsi="Times New Roman" w:cs="Times New Roman"/>
              </w:rPr>
            </w:pPr>
          </w:p>
        </w:tc>
        <w:tc>
          <w:tcPr>
            <w:tcW w:w="1506"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540127" w:rsidRPr="00540127" w:rsidRDefault="00540127" w:rsidP="00831874">
      <w:pPr>
        <w:pStyle w:val="a"/>
        <w:numPr>
          <w:ilvl w:val="0"/>
          <w:numId w:val="0"/>
        </w:numPr>
        <w:tabs>
          <w:tab w:val="left" w:pos="567"/>
        </w:tabs>
        <w:rPr>
          <w:sz w:val="24"/>
          <w:szCs w:val="24"/>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662C9"/>
    <w:rsid w:val="0006682C"/>
    <w:rsid w:val="00082419"/>
    <w:rsid w:val="000A0ED0"/>
    <w:rsid w:val="000C37D7"/>
    <w:rsid w:val="000D50E2"/>
    <w:rsid w:val="00104D22"/>
    <w:rsid w:val="001506A3"/>
    <w:rsid w:val="00195EC1"/>
    <w:rsid w:val="001A25D0"/>
    <w:rsid w:val="001B7076"/>
    <w:rsid w:val="001E140B"/>
    <w:rsid w:val="001F6947"/>
    <w:rsid w:val="00264033"/>
    <w:rsid w:val="002B34A9"/>
    <w:rsid w:val="002E4B5C"/>
    <w:rsid w:val="003046AF"/>
    <w:rsid w:val="003058D3"/>
    <w:rsid w:val="003063A3"/>
    <w:rsid w:val="00312931"/>
    <w:rsid w:val="00322AE7"/>
    <w:rsid w:val="003376E2"/>
    <w:rsid w:val="00340258"/>
    <w:rsid w:val="003479A4"/>
    <w:rsid w:val="003616E6"/>
    <w:rsid w:val="003C196C"/>
    <w:rsid w:val="003E584F"/>
    <w:rsid w:val="00406252"/>
    <w:rsid w:val="00491870"/>
    <w:rsid w:val="004A1400"/>
    <w:rsid w:val="004A3456"/>
    <w:rsid w:val="004D041F"/>
    <w:rsid w:val="004E190A"/>
    <w:rsid w:val="004F7E4A"/>
    <w:rsid w:val="00514615"/>
    <w:rsid w:val="005202B3"/>
    <w:rsid w:val="00521909"/>
    <w:rsid w:val="00540127"/>
    <w:rsid w:val="00576C75"/>
    <w:rsid w:val="00580442"/>
    <w:rsid w:val="006346F8"/>
    <w:rsid w:val="006445C5"/>
    <w:rsid w:val="00653A5C"/>
    <w:rsid w:val="0065463C"/>
    <w:rsid w:val="006A5C99"/>
    <w:rsid w:val="00723089"/>
    <w:rsid w:val="00731813"/>
    <w:rsid w:val="00736B78"/>
    <w:rsid w:val="00744C33"/>
    <w:rsid w:val="00773483"/>
    <w:rsid w:val="007C0BF5"/>
    <w:rsid w:val="007D5D2F"/>
    <w:rsid w:val="007D6B96"/>
    <w:rsid w:val="00831874"/>
    <w:rsid w:val="00832F89"/>
    <w:rsid w:val="008334F6"/>
    <w:rsid w:val="008341C6"/>
    <w:rsid w:val="0083467B"/>
    <w:rsid w:val="00850609"/>
    <w:rsid w:val="008543D2"/>
    <w:rsid w:val="0089134A"/>
    <w:rsid w:val="008C0090"/>
    <w:rsid w:val="008F2D88"/>
    <w:rsid w:val="00911301"/>
    <w:rsid w:val="009211C0"/>
    <w:rsid w:val="00933538"/>
    <w:rsid w:val="00953E1B"/>
    <w:rsid w:val="00983F51"/>
    <w:rsid w:val="0099119A"/>
    <w:rsid w:val="009A61AA"/>
    <w:rsid w:val="009C421C"/>
    <w:rsid w:val="009D3B64"/>
    <w:rsid w:val="009D7416"/>
    <w:rsid w:val="00A06C7A"/>
    <w:rsid w:val="00AF3725"/>
    <w:rsid w:val="00B52D87"/>
    <w:rsid w:val="00B66E7A"/>
    <w:rsid w:val="00B71A59"/>
    <w:rsid w:val="00B90028"/>
    <w:rsid w:val="00B90052"/>
    <w:rsid w:val="00B97BBE"/>
    <w:rsid w:val="00BC382E"/>
    <w:rsid w:val="00C02268"/>
    <w:rsid w:val="00C073B9"/>
    <w:rsid w:val="00C371AB"/>
    <w:rsid w:val="00C37604"/>
    <w:rsid w:val="00C4471D"/>
    <w:rsid w:val="00C5010D"/>
    <w:rsid w:val="00C865C4"/>
    <w:rsid w:val="00CB32CB"/>
    <w:rsid w:val="00CF6CF9"/>
    <w:rsid w:val="00D010FA"/>
    <w:rsid w:val="00D067FF"/>
    <w:rsid w:val="00D27FED"/>
    <w:rsid w:val="00D5505F"/>
    <w:rsid w:val="00D8086C"/>
    <w:rsid w:val="00D903B2"/>
    <w:rsid w:val="00E11C0A"/>
    <w:rsid w:val="00E70D89"/>
    <w:rsid w:val="00E761CF"/>
    <w:rsid w:val="00E859C9"/>
    <w:rsid w:val="00EC64F1"/>
    <w:rsid w:val="00EE7AA6"/>
    <w:rsid w:val="00F256F9"/>
    <w:rsid w:val="00F50B6D"/>
    <w:rsid w:val="00FA4C24"/>
    <w:rsid w:val="00FC069F"/>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s2dzra3Am+R6/nZiKRl7N+WmYLh5RNsHGqksEOpxNMc=</DigestValue>
    </Reference>
    <Reference URI="#idOfficeObject" Type="http://www.w3.org/2000/09/xmldsig#Object">
      <DigestMethod Algorithm="http://www.w3.org/2001/04/xmldsig-more#gostr3411"/>
      <DigestValue>vt0JI+XD7GX2bvdZzob4lkoSlnpHUIlIcgAcQGb+lQM=</DigestValue>
    </Reference>
  </SignedInfo>
  <SignatureValue>
    4Hasw46LNGZe+H2uzP71Fa5rY+nT2QtQz/vVeJRPuJe1Phq+CNKBO1XgXxwscV0gJEfCNl6J
    CnyrABFuLmdRWQ==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768gepEsa5MOkDH5+n9/WYSXOOU=</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9rBpsv/QczvSCtBGqPT4nfdDWuA=</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Pajkhk2ud41GJN3PBb0X1AhwO6Y=</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2017-04-18T06:40:35Z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sq6/cPjii8c5gUj8GVSfqobiS/UizJRnkjj4aWQ4/Vs=</DigestValue>
    </Reference>
    <Reference URI="#idOfficeObject" Type="http://www.w3.org/2000/09/xmldsig#Object">
      <DigestMethod Algorithm="http://www.w3.org/2001/04/xmldsig-more#gostr3411"/>
      <DigestValue>fqovRTAd+3YpY2/fNeVwZy7ooG6rMYoY+JzzrTTeKWE=</DigestValue>
    </Reference>
  </SignedInfo>
  <SignatureValue>
    2njv5UEzPWNAqNMkxCtAoYGvYvsJyvwK8kJnt4UCXFsx47HSop2KbWpR1ypW6tKII61hHtFL
    ZmHqArD7IRXC6w==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PjN4lutQhyeS07I9z+3IqonzjKc=</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9rBpsv/QczvSCtBGqPT4nfdDWuA=</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gFsyZBkiJmApDIiIruLIEFUt7GE=</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2017-08-07T02:44:36Z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42E7A-E162-47C4-BE90-C887970E8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1772</TotalTime>
  <Pages>1</Pages>
  <Words>2588</Words>
  <Characters>14757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33</cp:revision>
  <cp:lastPrinted>2017-04-11T03:46:00Z</cp:lastPrinted>
  <dcterms:created xsi:type="dcterms:W3CDTF">2016-02-05T08:11:00Z</dcterms:created>
  <dcterms:modified xsi:type="dcterms:W3CDTF">2018-02-21T06:26:00Z</dcterms:modified>
</cp:coreProperties>
</file>