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0B62EA" w:rsidP="00FC248F">
            <w:pPr>
              <w:pStyle w:val="a5"/>
              <w:rPr>
                <w:rFonts w:ascii="Times New Roman" w:eastAsia="Times New Roman" w:hAnsi="Times New Roman" w:cs="Times New Roman"/>
              </w:rPr>
            </w:pPr>
            <w:r w:rsidRPr="000B62EA">
              <w:rPr>
                <w:rFonts w:ascii="Times New Roman" w:eastAsia="Times New Roman" w:hAnsi="Times New Roman" w:cs="Times New Roman"/>
              </w:rPr>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xml:space="preserve">" до КТП 59-1-28 и отпайки на КТП 59-1-17 в </w:t>
            </w:r>
            <w:proofErr w:type="spellStart"/>
            <w:r w:rsidRPr="000B62EA">
              <w:rPr>
                <w:rFonts w:ascii="Times New Roman" w:eastAsia="Times New Roman" w:hAnsi="Times New Roman" w:cs="Times New Roman"/>
              </w:rPr>
              <w:t>р.ц</w:t>
            </w:r>
            <w:proofErr w:type="gramStart"/>
            <w:r w:rsidRPr="000B62EA">
              <w:rPr>
                <w:rFonts w:ascii="Times New Roman" w:eastAsia="Times New Roman" w:hAnsi="Times New Roman" w:cs="Times New Roman"/>
              </w:rPr>
              <w:t>.К</w:t>
            </w:r>
            <w:proofErr w:type="gramEnd"/>
            <w:r w:rsidRPr="000B62EA">
              <w:rPr>
                <w:rFonts w:ascii="Times New Roman" w:eastAsia="Times New Roman" w:hAnsi="Times New Roman" w:cs="Times New Roman"/>
              </w:rPr>
              <w:t>ытманово</w:t>
            </w:r>
            <w:proofErr w:type="spellEnd"/>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0B62EA">
            <w:pPr>
              <w:pStyle w:val="a5"/>
              <w:rPr>
                <w:rFonts w:ascii="Times New Roman" w:hAnsi="Times New Roman" w:cs="Times New Roman"/>
              </w:rPr>
            </w:pPr>
            <w:r>
              <w:rPr>
                <w:rFonts w:ascii="Times New Roman" w:hAnsi="Times New Roman" w:cs="Times New Roman"/>
                <w:lang w:val="en-US"/>
              </w:rPr>
              <w:t>F_ZSK_</w:t>
            </w:r>
            <w:r w:rsidR="000B62EA">
              <w:rPr>
                <w:rFonts w:ascii="Times New Roman" w:hAnsi="Times New Roman" w:cs="Times New Roman"/>
              </w:rPr>
              <w:t>10</w:t>
            </w:r>
            <w:r>
              <w:rPr>
                <w:rFonts w:ascii="Times New Roman" w:hAnsi="Times New Roman" w:cs="Times New Roman"/>
                <w:lang w:val="en-US"/>
              </w:rPr>
              <w:t>_</w:t>
            </w:r>
            <w:r>
              <w:rPr>
                <w:rFonts w:ascii="Times New Roman" w:hAnsi="Times New Roman" w:cs="Times New Roman"/>
              </w:rPr>
              <w:t>Э</w:t>
            </w:r>
          </w:p>
        </w:tc>
      </w:tr>
      <w:tr w:rsidR="003279E4" w:rsidRPr="00540127" w:rsidTr="003046AF">
        <w:trPr>
          <w:trHeight w:val="957"/>
        </w:trPr>
        <w:tc>
          <w:tcPr>
            <w:tcW w:w="2559" w:type="dxa"/>
            <w:vMerge w:val="restart"/>
            <w:tcBorders>
              <w:top w:val="single" w:sz="4" w:space="0" w:color="auto"/>
              <w:right w:val="single" w:sz="4" w:space="0" w:color="auto"/>
            </w:tcBorders>
          </w:tcPr>
          <w:p w:rsidR="003279E4" w:rsidRPr="00540127" w:rsidRDefault="003279E4"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3279E4" w:rsidRPr="00540127" w:rsidRDefault="003279E4"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3279E4" w:rsidRPr="001E140B" w:rsidRDefault="003279E4"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3279E4" w:rsidRPr="00540127" w:rsidTr="003046AF">
        <w:trPr>
          <w:trHeight w:val="957"/>
        </w:trPr>
        <w:tc>
          <w:tcPr>
            <w:tcW w:w="2559" w:type="dxa"/>
            <w:vMerge/>
            <w:tcBorders>
              <w:right w:val="single" w:sz="4" w:space="0" w:color="auto"/>
            </w:tcBorders>
          </w:tcPr>
          <w:p w:rsidR="003279E4" w:rsidRPr="00540127" w:rsidRDefault="003279E4"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3279E4" w:rsidRPr="00540127" w:rsidRDefault="003279E4"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3279E4" w:rsidRPr="001E140B" w:rsidRDefault="003279E4"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w:t>
            </w:r>
            <w:r w:rsidR="000B62EA">
              <w:rPr>
                <w:rFonts w:ascii="Times New Roman" w:hAnsi="Times New Roman" w:cs="Times New Roman"/>
                <w:sz w:val="24"/>
                <w:szCs w:val="24"/>
              </w:rPr>
              <w:t>2,3</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0B62EA">
            <w:pPr>
              <w:pStyle w:val="ConsPlusNormal"/>
              <w:ind w:left="19"/>
              <w:rPr>
                <w:rFonts w:ascii="Times New Roman" w:hAnsi="Times New Roman" w:cs="Times New Roman"/>
                <w:sz w:val="24"/>
                <w:szCs w:val="24"/>
              </w:rPr>
            </w:pPr>
            <w:r>
              <w:rPr>
                <w:rFonts w:ascii="Times New Roman" w:hAnsi="Times New Roman" w:cs="Times New Roman"/>
                <w:sz w:val="24"/>
                <w:szCs w:val="24"/>
              </w:rPr>
              <w:t>201</w:t>
            </w:r>
            <w:r w:rsidR="000B62EA">
              <w:rPr>
                <w:rFonts w:ascii="Times New Roman" w:hAnsi="Times New Roman" w:cs="Times New Roman"/>
                <w:sz w:val="24"/>
                <w:szCs w:val="24"/>
              </w:rPr>
              <w:t>9</w:t>
            </w:r>
            <w:r>
              <w:rPr>
                <w:rFonts w:ascii="Times New Roman" w:hAnsi="Times New Roman" w:cs="Times New Roman"/>
                <w:sz w:val="24"/>
                <w:szCs w:val="24"/>
              </w:rPr>
              <w:t xml:space="preserve"> г</w:t>
            </w:r>
            <w:r w:rsidR="001E140B" w:rsidRPr="001E140B">
              <w:rPr>
                <w:rFonts w:ascii="Times New Roman" w:hAnsi="Times New Roman" w:cs="Times New Roman"/>
                <w:sz w:val="24"/>
                <w:szCs w:val="24"/>
              </w:rPr>
              <w:t>.</w:t>
            </w:r>
          </w:p>
        </w:tc>
      </w:tr>
      <w:tr w:rsidR="003279E4" w:rsidRPr="00540127" w:rsidTr="003046AF">
        <w:trPr>
          <w:trHeight w:val="957"/>
        </w:trPr>
        <w:tc>
          <w:tcPr>
            <w:tcW w:w="2559" w:type="dxa"/>
            <w:vMerge/>
            <w:tcBorders>
              <w:bottom w:val="single" w:sz="4" w:space="0" w:color="auto"/>
              <w:right w:val="single" w:sz="4" w:space="0" w:color="auto"/>
            </w:tcBorders>
          </w:tcPr>
          <w:p w:rsidR="003279E4" w:rsidRPr="00540127" w:rsidRDefault="003279E4"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3279E4" w:rsidRPr="00540127" w:rsidRDefault="003279E4"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3279E4" w:rsidRPr="003C196C" w:rsidRDefault="003279E4"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3279E4" w:rsidRPr="00514615" w:rsidRDefault="003279E4" w:rsidP="00036119">
            <w:pPr>
              <w:pStyle w:val="ConsPlusNormal"/>
              <w:rPr>
                <w:rFonts w:ascii="Times New Roman" w:hAnsi="Times New Roman" w:cs="Times New Roman"/>
              </w:rPr>
            </w:pP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1E140B" w:rsidRPr="001B7076" w:rsidRDefault="001E140B" w:rsidP="001B7076">
            <w:pPr>
              <w:pStyle w:val="a5"/>
              <w:rPr>
                <w:rFonts w:ascii="Times New Roman" w:hAnsi="Times New Roman" w:cs="Times New Roman"/>
              </w:rPr>
            </w:pPr>
            <w:r w:rsidRPr="001B7076">
              <w:rPr>
                <w:rFonts w:ascii="Times New Roman" w:hAnsi="Times New Roman" w:cs="Times New Roman"/>
              </w:rPr>
              <w:t xml:space="preserve">показатели инвестиционного проекта приведены в приложении № </w:t>
            </w:r>
            <w:r w:rsidR="001B7076" w:rsidRPr="001B7076">
              <w:rPr>
                <w:rFonts w:ascii="Times New Roman" w:hAnsi="Times New Roman" w:cs="Times New Roman"/>
              </w:rPr>
              <w:t>1</w:t>
            </w:r>
            <w:r w:rsidRPr="001B7076">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1E140B" w:rsidRPr="001B7076" w:rsidRDefault="00104D22"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1B7076" w:rsidRPr="001B7076">
              <w:rPr>
                <w:rFonts w:ascii="Times New Roman" w:hAnsi="Times New Roman" w:cs="Times New Roman"/>
                <w:lang w:eastAsia="en-US"/>
              </w:rPr>
              <w:t>1</w:t>
            </w:r>
            <w:r w:rsidRPr="001B7076">
              <w:rPr>
                <w:rFonts w:ascii="Times New Roman" w:hAnsi="Times New Roman" w:cs="Times New Roman"/>
                <w:lang w:eastAsia="en-US"/>
              </w:rPr>
              <w:t xml:space="preserve">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0B62EA" w:rsidRPr="00540127" w:rsidTr="003046AF">
        <w:tc>
          <w:tcPr>
            <w:tcW w:w="7655" w:type="dxa"/>
            <w:gridSpan w:val="2"/>
            <w:tcBorders>
              <w:top w:val="single" w:sz="4" w:space="0" w:color="auto"/>
              <w:bottom w:val="single" w:sz="4" w:space="0" w:color="auto"/>
              <w:right w:val="single" w:sz="4" w:space="0" w:color="auto"/>
            </w:tcBorders>
          </w:tcPr>
          <w:p w:rsidR="000B62EA" w:rsidRPr="00540127" w:rsidRDefault="000B62EA"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
        </w:tc>
        <w:tc>
          <w:tcPr>
            <w:tcW w:w="7371" w:type="dxa"/>
            <w:tcBorders>
              <w:top w:val="single" w:sz="4" w:space="0" w:color="auto"/>
              <w:left w:val="single" w:sz="4" w:space="0" w:color="auto"/>
              <w:bottom w:val="single" w:sz="4" w:space="0" w:color="auto"/>
            </w:tcBorders>
          </w:tcPr>
          <w:p w:rsidR="000B62EA" w:rsidRPr="00FC248F" w:rsidRDefault="000B62EA" w:rsidP="00550C2F">
            <w:pPr>
              <w:pStyle w:val="a5"/>
              <w:rPr>
                <w:rFonts w:ascii="Times New Roman" w:eastAsia="Times New Roman" w:hAnsi="Times New Roman" w:cs="Times New Roman"/>
              </w:rPr>
            </w:pPr>
            <w:r w:rsidRPr="000B62EA">
              <w:rPr>
                <w:rFonts w:ascii="Times New Roman" w:eastAsia="Times New Roman" w:hAnsi="Times New Roman" w:cs="Times New Roman"/>
              </w:rPr>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до КТП 59-1-28 и отпайки на КТП 59-1-17 в р.</w:t>
            </w:r>
            <w:r>
              <w:rPr>
                <w:rFonts w:ascii="Times New Roman" w:eastAsia="Times New Roman" w:hAnsi="Times New Roman" w:cs="Times New Roman"/>
              </w:rPr>
              <w:t xml:space="preserve"> </w:t>
            </w:r>
            <w:proofErr w:type="spellStart"/>
            <w:r w:rsidRPr="000B62EA">
              <w:rPr>
                <w:rFonts w:ascii="Times New Roman" w:eastAsia="Times New Roman" w:hAnsi="Times New Roman" w:cs="Times New Roman"/>
              </w:rPr>
              <w:t>ц</w:t>
            </w:r>
            <w:proofErr w:type="spellEnd"/>
            <w:r w:rsidRPr="000B62EA">
              <w:rPr>
                <w:rFonts w:ascii="Times New Roman" w:eastAsia="Times New Roman" w:hAnsi="Times New Roman" w:cs="Times New Roman"/>
              </w:rPr>
              <w:t>.</w:t>
            </w:r>
            <w:r>
              <w:rPr>
                <w:rFonts w:ascii="Times New Roman" w:eastAsia="Times New Roman" w:hAnsi="Times New Roman" w:cs="Times New Roman"/>
              </w:rPr>
              <w:t xml:space="preserve"> </w:t>
            </w:r>
            <w:r w:rsidRPr="000B62EA">
              <w:rPr>
                <w:rFonts w:ascii="Times New Roman" w:eastAsia="Times New Roman" w:hAnsi="Times New Roman" w:cs="Times New Roman"/>
              </w:rPr>
              <w:t>Кытманово</w:t>
            </w:r>
            <w:r>
              <w:rPr>
                <w:rFonts w:ascii="Times New Roman" w:eastAsia="Times New Roman" w:hAnsi="Times New Roman" w:cs="Times New Roman"/>
              </w:rPr>
              <w:t>, 2019 год,  3,2</w:t>
            </w:r>
            <w:r w:rsidR="00550C2F">
              <w:rPr>
                <w:rFonts w:ascii="Times New Roman" w:eastAsia="Times New Roman" w:hAnsi="Times New Roman" w:cs="Times New Roman"/>
              </w:rPr>
              <w:t>47</w:t>
            </w:r>
            <w:r>
              <w:rPr>
                <w:rFonts w:ascii="Times New Roman" w:eastAsia="Times New Roman" w:hAnsi="Times New Roman" w:cs="Times New Roman"/>
              </w:rPr>
              <w:t xml:space="preserve"> млн.руб.</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заполняется по факту выполнения мероприятий направленных на реализацию инвестиционного проекта</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97BBE">
            <w:pPr>
              <w:ind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E70D89" w:rsidRPr="003046AF" w:rsidRDefault="003046AF"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66E7A">
            <w:pPr>
              <w:pStyle w:val="a8"/>
              <w:ind w:left="303"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E70D89" w:rsidRPr="00540127" w:rsidRDefault="00E70D89"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E70D89" w:rsidRPr="00540127" w:rsidTr="001B7076">
        <w:trPr>
          <w:trHeight w:val="9771"/>
        </w:trPr>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E70D89" w:rsidRPr="003046AF" w:rsidRDefault="000B62EA" w:rsidP="004D041F">
            <w:pPr>
              <w:rPr>
                <w:highlight w:val="yellow"/>
              </w:rPr>
            </w:pPr>
            <w:r w:rsidRPr="000B62EA">
              <w:rPr>
                <w:noProof/>
              </w:rPr>
              <w:drawing>
                <wp:inline distT="0" distB="0" distL="0" distR="0">
                  <wp:extent cx="4545055" cy="2042587"/>
                  <wp:effectExtent l="0" t="1276350" r="0" b="1234013"/>
                  <wp:docPr id="17" name="Рисунок 17"/>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rot="5400000">
                            <a:off x="0" y="0"/>
                            <a:ext cx="4538169" cy="2039492"/>
                          </a:xfrm>
                          <a:prstGeom prst="rect">
                            <a:avLst/>
                          </a:prstGeom>
                          <a:scene3d>
                            <a:camera prst="orthographicFront">
                              <a:rot lat="300000" lon="0" rev="0"/>
                            </a:camera>
                            <a:lightRig rig="threePt" dir="t"/>
                          </a:scene3d>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0B62EA" w:rsidRPr="00FC248F" w:rsidRDefault="00540127" w:rsidP="000B62EA">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0B62EA" w:rsidRPr="000B62EA">
        <w:rPr>
          <w:rFonts w:ascii="Times New Roman" w:eastAsia="Times New Roman" w:hAnsi="Times New Roman" w:cs="Times New Roman"/>
        </w:rPr>
        <w:t>Реконструкция ВЛ-10 кВ л 59-1 от ПС № 59 "</w:t>
      </w:r>
      <w:proofErr w:type="spellStart"/>
      <w:r w:rsidR="000B62EA" w:rsidRPr="000B62EA">
        <w:rPr>
          <w:rFonts w:ascii="Times New Roman" w:eastAsia="Times New Roman" w:hAnsi="Times New Roman" w:cs="Times New Roman"/>
        </w:rPr>
        <w:t>Кытмановская</w:t>
      </w:r>
      <w:proofErr w:type="spellEnd"/>
      <w:r w:rsidR="000B62EA" w:rsidRPr="000B62EA">
        <w:rPr>
          <w:rFonts w:ascii="Times New Roman" w:eastAsia="Times New Roman" w:hAnsi="Times New Roman" w:cs="Times New Roman"/>
        </w:rPr>
        <w:t xml:space="preserve">" до КТП 59-1-28 и отпайки на КТП 59-1-17 в </w:t>
      </w:r>
      <w:proofErr w:type="spellStart"/>
      <w:r w:rsidR="000B62EA" w:rsidRPr="000B62EA">
        <w:rPr>
          <w:rFonts w:ascii="Times New Roman" w:eastAsia="Times New Roman" w:hAnsi="Times New Roman" w:cs="Times New Roman"/>
        </w:rPr>
        <w:t>р.ц</w:t>
      </w:r>
      <w:proofErr w:type="gramStart"/>
      <w:r w:rsidR="000B62EA" w:rsidRPr="000B62EA">
        <w:rPr>
          <w:rFonts w:ascii="Times New Roman" w:eastAsia="Times New Roman" w:hAnsi="Times New Roman" w:cs="Times New Roman"/>
        </w:rPr>
        <w:t>.К</w:t>
      </w:r>
      <w:proofErr w:type="gramEnd"/>
      <w:r w:rsidR="000B62EA" w:rsidRPr="000B62EA">
        <w:rPr>
          <w:rFonts w:ascii="Times New Roman" w:eastAsia="Times New Roman" w:hAnsi="Times New Roman" w:cs="Times New Roman"/>
        </w:rPr>
        <w:t>ытманово</w:t>
      </w:r>
      <w:proofErr w:type="spellEnd"/>
    </w:p>
    <w:p w:rsidR="006A5C99" w:rsidRPr="00FC248F" w:rsidRDefault="006A5C99" w:rsidP="006A5C99">
      <w:pPr>
        <w:pStyle w:val="a5"/>
        <w:jc w:val="center"/>
        <w:rPr>
          <w:rFonts w:ascii="Times New Roman" w:eastAsia="Times New Roman" w:hAnsi="Times New Roman" w:cs="Times New Roman"/>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3279E4" w:rsidRDefault="003279E4" w:rsidP="003279E4">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3279E4" w:rsidRDefault="003279E4" w:rsidP="003279E4">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3279E4" w:rsidRDefault="003279E4" w:rsidP="003279E4">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3279E4" w:rsidRDefault="003279E4" w:rsidP="003279E4">
      <w:pPr>
        <w:pStyle w:val="aa"/>
        <w:tabs>
          <w:tab w:val="left" w:pos="567"/>
        </w:tabs>
        <w:spacing w:line="276" w:lineRule="auto"/>
        <w:ind w:firstLine="0"/>
        <w:rPr>
          <w:rFonts w:ascii="Times New Roman" w:hAnsi="Times New Roman" w:cs="Times New Roman"/>
          <w:b/>
          <w:sz w:val="24"/>
          <w:szCs w:val="24"/>
          <w:u w:val="single"/>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0B62EA" w:rsidRPr="00FC248F" w:rsidRDefault="000B62EA" w:rsidP="002E7853">
            <w:pPr>
              <w:pStyle w:val="a5"/>
              <w:rPr>
                <w:rFonts w:ascii="Times New Roman" w:eastAsia="Times New Roman" w:hAnsi="Times New Roman" w:cs="Times New Roman"/>
              </w:rPr>
            </w:pPr>
            <w:r w:rsidRPr="000B62EA">
              <w:rPr>
                <w:rFonts w:ascii="Times New Roman" w:eastAsia="Times New Roman" w:hAnsi="Times New Roman" w:cs="Times New Roman"/>
              </w:rPr>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xml:space="preserve">" до КТП 59-1-28 и отпайки на КТП 59-1-17 в </w:t>
            </w:r>
            <w:proofErr w:type="spellStart"/>
            <w:r w:rsidRPr="000B62EA">
              <w:rPr>
                <w:rFonts w:ascii="Times New Roman" w:eastAsia="Times New Roman" w:hAnsi="Times New Roman" w:cs="Times New Roman"/>
              </w:rPr>
              <w:t>р.ц</w:t>
            </w:r>
            <w:proofErr w:type="gramStart"/>
            <w:r w:rsidRPr="000B62EA">
              <w:rPr>
                <w:rFonts w:ascii="Times New Roman" w:eastAsia="Times New Roman" w:hAnsi="Times New Roman" w:cs="Times New Roman"/>
              </w:rPr>
              <w:t>.К</w:t>
            </w:r>
            <w:proofErr w:type="gramEnd"/>
            <w:r w:rsidRPr="000B62EA">
              <w:rPr>
                <w:rFonts w:ascii="Times New Roman" w:eastAsia="Times New Roman" w:hAnsi="Times New Roman" w:cs="Times New Roman"/>
              </w:rPr>
              <w:t>ытманово</w:t>
            </w:r>
            <w:proofErr w:type="spellEnd"/>
          </w:p>
        </w:tc>
        <w:tc>
          <w:tcPr>
            <w:tcW w:w="1608"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2F2014" w:rsidRDefault="000B62EA"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B62EA" w:rsidRPr="002F2014" w:rsidRDefault="000B62EA"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w:t>
            </w:r>
            <w:proofErr w:type="gramStart"/>
            <w:r w:rsidR="00E11C0A">
              <w:rPr>
                <w:rFonts w:ascii="Times New Roman" w:eastAsia="Times New Roman" w:hAnsi="Times New Roman" w:cs="Times New Roman"/>
                <w:bCs/>
                <w:color w:val="000000"/>
                <w:sz w:val="16"/>
                <w:szCs w:val="16"/>
              </w:rPr>
              <w:t>й(</w:t>
            </w:r>
            <w:proofErr w:type="spellStart"/>
            <w:proofErr w:type="gramEnd"/>
            <w:r w:rsidR="00E11C0A">
              <w:rPr>
                <w:rFonts w:ascii="Times New Roman" w:eastAsia="Times New Roman" w:hAnsi="Times New Roman" w:cs="Times New Roman"/>
                <w:bCs/>
                <w:color w:val="000000"/>
                <w:sz w:val="16"/>
                <w:szCs w:val="16"/>
              </w:rPr>
              <w:t>пВз</w:t>
            </w:r>
            <w:proofErr w:type="spellEnd"/>
            <w:r w:rsidR="00E11C0A">
              <w:rPr>
                <w:rFonts w:ascii="Times New Roman" w:eastAsia="Times New Roman" w:hAnsi="Times New Roman" w:cs="Times New Roman"/>
                <w:bCs/>
                <w:color w:val="000000"/>
                <w:sz w:val="16"/>
                <w:szCs w:val="16"/>
              </w:rPr>
              <w:t>)</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0B62EA" w:rsidRPr="00FC248F" w:rsidRDefault="000B62EA" w:rsidP="002E7853">
            <w:pPr>
              <w:pStyle w:val="a5"/>
              <w:rPr>
                <w:rFonts w:ascii="Times New Roman" w:eastAsia="Times New Roman" w:hAnsi="Times New Roman" w:cs="Times New Roman"/>
              </w:rPr>
            </w:pPr>
            <w:r w:rsidRPr="000B62EA">
              <w:rPr>
                <w:rFonts w:ascii="Times New Roman" w:eastAsia="Times New Roman" w:hAnsi="Times New Roman" w:cs="Times New Roman"/>
              </w:rPr>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xml:space="preserve">" до КТП 59-1-28 и отпайки на КТП 59-1-17 в </w:t>
            </w:r>
            <w:proofErr w:type="spellStart"/>
            <w:r w:rsidRPr="000B62EA">
              <w:rPr>
                <w:rFonts w:ascii="Times New Roman" w:eastAsia="Times New Roman" w:hAnsi="Times New Roman" w:cs="Times New Roman"/>
              </w:rPr>
              <w:t>р.ц</w:t>
            </w:r>
            <w:proofErr w:type="gramStart"/>
            <w:r w:rsidRPr="000B62EA">
              <w:rPr>
                <w:rFonts w:ascii="Times New Roman" w:eastAsia="Times New Roman" w:hAnsi="Times New Roman" w:cs="Times New Roman"/>
              </w:rPr>
              <w:t>.К</w:t>
            </w:r>
            <w:proofErr w:type="gramEnd"/>
            <w:r w:rsidRPr="000B62EA">
              <w:rPr>
                <w:rFonts w:ascii="Times New Roman" w:eastAsia="Times New Roman" w:hAnsi="Times New Roman" w:cs="Times New Roman"/>
              </w:rPr>
              <w:t>ытманово</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2,3</w:t>
            </w:r>
          </w:p>
        </w:tc>
        <w:tc>
          <w:tcPr>
            <w:tcW w:w="1584"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0B62EA" w:rsidRPr="00FC248F" w:rsidRDefault="000B62EA" w:rsidP="002E7853">
            <w:pPr>
              <w:pStyle w:val="a5"/>
              <w:rPr>
                <w:rFonts w:ascii="Times New Roman" w:eastAsia="Times New Roman" w:hAnsi="Times New Roman" w:cs="Times New Roman"/>
              </w:rPr>
            </w:pPr>
            <w:r w:rsidRPr="000B62EA">
              <w:rPr>
                <w:rFonts w:ascii="Times New Roman" w:eastAsia="Times New Roman" w:hAnsi="Times New Roman" w:cs="Times New Roman"/>
              </w:rPr>
              <w:lastRenderedPageBreak/>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xml:space="preserve">" до КТП 59-1-28 и отпайки на КТП 59-1-17 в </w:t>
            </w:r>
            <w:proofErr w:type="spellStart"/>
            <w:r w:rsidRPr="000B62EA">
              <w:rPr>
                <w:rFonts w:ascii="Times New Roman" w:eastAsia="Times New Roman" w:hAnsi="Times New Roman" w:cs="Times New Roman"/>
              </w:rPr>
              <w:t>р.ц</w:t>
            </w:r>
            <w:proofErr w:type="gramStart"/>
            <w:r w:rsidRPr="000B62EA">
              <w:rPr>
                <w:rFonts w:ascii="Times New Roman" w:eastAsia="Times New Roman" w:hAnsi="Times New Roman" w:cs="Times New Roman"/>
              </w:rPr>
              <w:t>.К</w:t>
            </w:r>
            <w:proofErr w:type="gramEnd"/>
            <w:r w:rsidRPr="000B62EA">
              <w:rPr>
                <w:rFonts w:ascii="Times New Roman" w:eastAsia="Times New Roman" w:hAnsi="Times New Roman" w:cs="Times New Roman"/>
              </w:rPr>
              <w:t>ытманово</w:t>
            </w:r>
            <w:proofErr w:type="spellEnd"/>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0B62EA" w:rsidRPr="00FC248F" w:rsidRDefault="000B62EA" w:rsidP="002E7853">
            <w:pPr>
              <w:pStyle w:val="a5"/>
              <w:rPr>
                <w:rFonts w:ascii="Times New Roman" w:eastAsia="Times New Roman" w:hAnsi="Times New Roman" w:cs="Times New Roman"/>
              </w:rPr>
            </w:pPr>
            <w:r w:rsidRPr="000B62EA">
              <w:rPr>
                <w:rFonts w:ascii="Times New Roman" w:eastAsia="Times New Roman" w:hAnsi="Times New Roman" w:cs="Times New Roman"/>
              </w:rPr>
              <w:t>Реконструкция ВЛ-10 кВ л 59-1 от ПС № 59 "</w:t>
            </w:r>
            <w:proofErr w:type="spellStart"/>
            <w:r w:rsidRPr="000B62EA">
              <w:rPr>
                <w:rFonts w:ascii="Times New Roman" w:eastAsia="Times New Roman" w:hAnsi="Times New Roman" w:cs="Times New Roman"/>
              </w:rPr>
              <w:t>Кытмановская</w:t>
            </w:r>
            <w:proofErr w:type="spellEnd"/>
            <w:r w:rsidRPr="000B62EA">
              <w:rPr>
                <w:rFonts w:ascii="Times New Roman" w:eastAsia="Times New Roman" w:hAnsi="Times New Roman" w:cs="Times New Roman"/>
              </w:rPr>
              <w:t xml:space="preserve">" до КТП 59-1-28 и отпайки на КТП 59-1-17 в </w:t>
            </w:r>
            <w:proofErr w:type="spellStart"/>
            <w:r w:rsidRPr="000B62EA">
              <w:rPr>
                <w:rFonts w:ascii="Times New Roman" w:eastAsia="Times New Roman" w:hAnsi="Times New Roman" w:cs="Times New Roman"/>
              </w:rPr>
              <w:t>р.ц</w:t>
            </w:r>
            <w:proofErr w:type="gramStart"/>
            <w:r w:rsidRPr="000B62EA">
              <w:rPr>
                <w:rFonts w:ascii="Times New Roman" w:eastAsia="Times New Roman" w:hAnsi="Times New Roman" w:cs="Times New Roman"/>
              </w:rPr>
              <w:t>.К</w:t>
            </w:r>
            <w:proofErr w:type="gramEnd"/>
            <w:r w:rsidRPr="000B62EA">
              <w:rPr>
                <w:rFonts w:ascii="Times New Roman" w:eastAsia="Times New Roman" w:hAnsi="Times New Roman" w:cs="Times New Roman"/>
              </w:rPr>
              <w:t>ытманово</w:t>
            </w:r>
            <w:proofErr w:type="spellEnd"/>
          </w:p>
        </w:tc>
        <w:tc>
          <w:tcPr>
            <w:tcW w:w="1506"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540127" w:rsidRPr="00540127" w:rsidRDefault="00540127" w:rsidP="004A1400">
      <w:pPr>
        <w:tabs>
          <w:tab w:val="left" w:pos="567"/>
        </w:tabs>
        <w:ind w:firstLine="0"/>
        <w:rPr>
          <w:rFonts w:ascii="Times New Roman" w:hAnsi="Times New Roman" w:cs="Times New Roman"/>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35438"/>
    <w:rsid w:val="000662C9"/>
    <w:rsid w:val="0006682C"/>
    <w:rsid w:val="00082419"/>
    <w:rsid w:val="000A0ED0"/>
    <w:rsid w:val="000B62EA"/>
    <w:rsid w:val="000C37D7"/>
    <w:rsid w:val="000D50E2"/>
    <w:rsid w:val="00104D22"/>
    <w:rsid w:val="001506A3"/>
    <w:rsid w:val="0019581A"/>
    <w:rsid w:val="00195EC1"/>
    <w:rsid w:val="001A25D0"/>
    <w:rsid w:val="001B7076"/>
    <w:rsid w:val="001E140B"/>
    <w:rsid w:val="001F6947"/>
    <w:rsid w:val="00264033"/>
    <w:rsid w:val="002971A7"/>
    <w:rsid w:val="002A074D"/>
    <w:rsid w:val="002B34A9"/>
    <w:rsid w:val="002E4B5C"/>
    <w:rsid w:val="003046AF"/>
    <w:rsid w:val="003063A3"/>
    <w:rsid w:val="00322AE7"/>
    <w:rsid w:val="003279E4"/>
    <w:rsid w:val="003376E2"/>
    <w:rsid w:val="00340258"/>
    <w:rsid w:val="003479A4"/>
    <w:rsid w:val="003616E6"/>
    <w:rsid w:val="003C196C"/>
    <w:rsid w:val="003C2494"/>
    <w:rsid w:val="003E584F"/>
    <w:rsid w:val="00406252"/>
    <w:rsid w:val="00491870"/>
    <w:rsid w:val="004A1400"/>
    <w:rsid w:val="004A3456"/>
    <w:rsid w:val="004D041F"/>
    <w:rsid w:val="004E190A"/>
    <w:rsid w:val="004F7E4A"/>
    <w:rsid w:val="00514615"/>
    <w:rsid w:val="005202B3"/>
    <w:rsid w:val="00521909"/>
    <w:rsid w:val="00540127"/>
    <w:rsid w:val="00550C2F"/>
    <w:rsid w:val="00576C75"/>
    <w:rsid w:val="00580442"/>
    <w:rsid w:val="006346F8"/>
    <w:rsid w:val="006445C5"/>
    <w:rsid w:val="00653A5C"/>
    <w:rsid w:val="0065463C"/>
    <w:rsid w:val="006A5C99"/>
    <w:rsid w:val="00723089"/>
    <w:rsid w:val="00731813"/>
    <w:rsid w:val="00736B78"/>
    <w:rsid w:val="00773483"/>
    <w:rsid w:val="007C0BF5"/>
    <w:rsid w:val="007D5D2F"/>
    <w:rsid w:val="007D6B96"/>
    <w:rsid w:val="00831874"/>
    <w:rsid w:val="00832F89"/>
    <w:rsid w:val="008334F6"/>
    <w:rsid w:val="008341C6"/>
    <w:rsid w:val="0083467B"/>
    <w:rsid w:val="008424AB"/>
    <w:rsid w:val="00850609"/>
    <w:rsid w:val="008543D2"/>
    <w:rsid w:val="0089134A"/>
    <w:rsid w:val="008F2D88"/>
    <w:rsid w:val="00911301"/>
    <w:rsid w:val="009211C0"/>
    <w:rsid w:val="00933538"/>
    <w:rsid w:val="00953E1B"/>
    <w:rsid w:val="00983F51"/>
    <w:rsid w:val="0099119A"/>
    <w:rsid w:val="00991499"/>
    <w:rsid w:val="009A61AA"/>
    <w:rsid w:val="009C421C"/>
    <w:rsid w:val="009D3B64"/>
    <w:rsid w:val="009D7416"/>
    <w:rsid w:val="00A06C7A"/>
    <w:rsid w:val="00AF3725"/>
    <w:rsid w:val="00B52D87"/>
    <w:rsid w:val="00B66E7A"/>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27FED"/>
    <w:rsid w:val="00D5505F"/>
    <w:rsid w:val="00D8086C"/>
    <w:rsid w:val="00D903B2"/>
    <w:rsid w:val="00E06442"/>
    <w:rsid w:val="00E11C0A"/>
    <w:rsid w:val="00E60538"/>
    <w:rsid w:val="00E70D89"/>
    <w:rsid w:val="00E761CF"/>
    <w:rsid w:val="00E859C9"/>
    <w:rsid w:val="00EC64F1"/>
    <w:rsid w:val="00EE7AA6"/>
    <w:rsid w:val="00F256F9"/>
    <w:rsid w:val="00F50B6D"/>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xZBPLsHjIu7XiDad/MRN7W3jegeZ746DJ6ZbLAypTEA=</DigestValue>
    </Reference>
    <Reference URI="#idOfficeObject" Type="http://www.w3.org/2000/09/xmldsig#Object">
      <DigestMethod Algorithm="http://www.w3.org/2001/04/xmldsig-more#gostr3411"/>
      <DigestValue>vt0JI+XD7GX2bvdZzob4lkoSlnpHUIlIcgAcQGb+lQM=</DigestValue>
    </Reference>
  </SignedInfo>
  <SignatureValue>
    29QcS4l8pbayA1fuyhr8jQNUushyJwT8gPHIr+ft60VCrDvhfol50nTZHPUntUeVAxNuEKaa
    OnSKg4rtNqkgeQ==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Wafj+6WfYrlklUoi5wg7jUEalGk=</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7xDid+5w+2kCFEya7v5Aq9nD6x4=</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xejEUi3kMtwiXBORMbBh5XZEWqc=</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2017-04-18T06:42:13Z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iyl+IvrCAwFLRYgHAAqkYAcsaUDY+yjEZ6V3JLFkEfc=</DigestValue>
    </Reference>
    <Reference URI="#idOfficeObject" Type="http://www.w3.org/2000/09/xmldsig#Object">
      <DigestMethod Algorithm="http://www.w3.org/2001/04/xmldsig-more#gostr3411"/>
      <DigestValue>fqovRTAd+3YpY2/fNeVwZy7ooG6rMYoY+JzzrTTeKWE=</DigestValue>
    </Reference>
  </SignedInfo>
  <SignatureValue>
    eovW8OyY8r9X5tobZG0lFeeB52sdw2Sgw6k4wDs4v0mdK4HC1Oul5JTluRgADubCnq+WESvG
    QvBayRBgdsKc6Q==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PB6fl7BOJNws0+R97fZiVEjy+hg=</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7xDid+5w+2kCFEya7v5Aq9nD6x4=</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DSFG1kHB1x8ePLiyHXDtZZdnpn4=</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gpvUs8pORuX1hissA58kSAkdwik=</DigestValue>
      </Reference>
    </Manifest>
    <SignatureProperties>
      <SignatureProperty Id="idSignatureTime" Target="#idPackageSignature">
        <mdssi:SignatureTime>
          <mdssi:Format>YYYY-MM-DDThh:mm:ssTZD</mdssi:Format>
          <mdssi:Value>2017-08-07T02:44:02Z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D8717-F128-47C1-BE06-66457BAAC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9</Pages>
  <Words>2547</Words>
  <Characters>14518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36</cp:revision>
  <cp:lastPrinted>2017-04-11T03:46:00Z</cp:lastPrinted>
  <dcterms:created xsi:type="dcterms:W3CDTF">2016-02-05T08:11:00Z</dcterms:created>
  <dcterms:modified xsi:type="dcterms:W3CDTF">2018-02-21T06:28:00Z</dcterms:modified>
  <cp:contentStatus/>
</cp:coreProperties>
</file>